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B" w:rsidRDefault="00D10AEB" w:rsidP="0008108C">
      <w:pPr>
        <w:rPr>
          <w:rFonts w:ascii="Minion Pro" w:hAnsi="Minion Pro" w:cs="Arial"/>
          <w:b/>
          <w:sz w:val="32"/>
          <w:szCs w:val="32"/>
        </w:rPr>
      </w:pPr>
      <w:bookmarkStart w:id="0" w:name="_GoBack"/>
      <w:bookmarkEnd w:id="0"/>
      <w:r>
        <w:rPr>
          <w:rFonts w:ascii="Minion Pro" w:hAnsi="Minion Pro" w:cs="Arial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-508000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EB" w:rsidRDefault="00D10AEB" w:rsidP="0008108C">
      <w:pPr>
        <w:rPr>
          <w:rFonts w:ascii="Minion Pro" w:hAnsi="Minion Pro" w:cs="Arial"/>
          <w:b/>
          <w:sz w:val="32"/>
          <w:szCs w:val="32"/>
        </w:rPr>
      </w:pPr>
    </w:p>
    <w:p w:rsidR="0008108C" w:rsidRPr="007C704A" w:rsidRDefault="0008108C" w:rsidP="0008108C">
      <w:pPr>
        <w:rPr>
          <w:rFonts w:ascii="Minion Pro" w:hAnsi="Minion Pro" w:cs="Arial"/>
          <w:b/>
          <w:sz w:val="32"/>
          <w:szCs w:val="32"/>
        </w:rPr>
      </w:pPr>
      <w:r w:rsidRPr="007C704A">
        <w:rPr>
          <w:rFonts w:ascii="Minion Pro" w:hAnsi="Minion Pro" w:cs="Arial"/>
          <w:b/>
          <w:sz w:val="32"/>
          <w:szCs w:val="32"/>
        </w:rPr>
        <w:t>MODÈLE DESCRIPTION DE POSTE :</w:t>
      </w:r>
      <w:r w:rsidR="00903BAB" w:rsidRPr="007C704A">
        <w:rPr>
          <w:rFonts w:ascii="Minion Pro" w:hAnsi="Minion Pro" w:cs="Arial"/>
          <w:b/>
          <w:sz w:val="32"/>
          <w:szCs w:val="32"/>
        </w:rPr>
        <w:t xml:space="preserve"> </w:t>
      </w:r>
    </w:p>
    <w:p w:rsidR="0008108C" w:rsidRPr="007C704A" w:rsidRDefault="0008108C" w:rsidP="0008108C">
      <w:pPr>
        <w:rPr>
          <w:rFonts w:ascii="Minion Pro" w:hAnsi="Minion Pro" w:cs="Arial"/>
          <w:b/>
          <w:sz w:val="32"/>
          <w:szCs w:val="32"/>
        </w:rPr>
      </w:pPr>
      <w:r w:rsidRPr="007C704A">
        <w:rPr>
          <w:rFonts w:ascii="Minion Pro" w:hAnsi="Minion Pro" w:cs="Arial"/>
          <w:b/>
          <w:sz w:val="32"/>
          <w:szCs w:val="32"/>
        </w:rPr>
        <w:t>MEMBRE DU PERSONNEL DE GENA DE NIVEAU II</w:t>
      </w:r>
    </w:p>
    <w:p w:rsidR="0008108C" w:rsidRPr="007C704A" w:rsidRDefault="0008108C" w:rsidP="0008108C">
      <w:pPr>
        <w:rPr>
          <w:rFonts w:ascii="Minion Pro" w:hAnsi="Minion Pro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772"/>
      </w:tblGrid>
      <w:tr w:rsidR="0008108C" w:rsidRPr="007C704A">
        <w:tc>
          <w:tcPr>
            <w:tcW w:w="1728" w:type="dxa"/>
          </w:tcPr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  <w:r w:rsidRPr="007C704A">
              <w:rPr>
                <w:rFonts w:ascii="Minion Pro" w:hAnsi="Minion Pro" w:cs="Arial"/>
                <w:sz w:val="24"/>
                <w:szCs w:val="24"/>
              </w:rPr>
              <w:t>Titre de poste</w:t>
            </w:r>
          </w:p>
        </w:tc>
        <w:tc>
          <w:tcPr>
            <w:tcW w:w="7772" w:type="dxa"/>
          </w:tcPr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</w:p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</w:p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  <w:tr w:rsidR="0008108C" w:rsidRPr="007C704A">
        <w:tc>
          <w:tcPr>
            <w:tcW w:w="1728" w:type="dxa"/>
          </w:tcPr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  <w:r w:rsidRPr="007C704A">
              <w:rPr>
                <w:rFonts w:ascii="Minion Pro" w:hAnsi="Minion Pro" w:cs="Arial"/>
                <w:sz w:val="24"/>
                <w:szCs w:val="24"/>
              </w:rPr>
              <w:t>Superviseur immédiat</w:t>
            </w:r>
          </w:p>
        </w:tc>
        <w:tc>
          <w:tcPr>
            <w:tcW w:w="7772" w:type="dxa"/>
          </w:tcPr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</w:p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</w:p>
          <w:p w:rsidR="0008108C" w:rsidRPr="007C704A" w:rsidRDefault="0008108C" w:rsidP="00967A96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</w:tbl>
    <w:p w:rsidR="0008108C" w:rsidRPr="007C704A" w:rsidRDefault="0008108C" w:rsidP="0008108C">
      <w:pPr>
        <w:rPr>
          <w:rFonts w:ascii="Minion Pro" w:hAnsi="Minion Pro" w:cs="Arial"/>
          <w:b/>
          <w:sz w:val="24"/>
          <w:szCs w:val="24"/>
        </w:rPr>
      </w:pPr>
    </w:p>
    <w:p w:rsidR="0008108C" w:rsidRPr="007C704A" w:rsidRDefault="0008108C" w:rsidP="0008108C">
      <w:pPr>
        <w:spacing w:after="240"/>
        <w:rPr>
          <w:rFonts w:ascii="Myriad Pro" w:hAnsi="Myriad Pro" w:cs="Arial"/>
          <w:b/>
          <w:sz w:val="24"/>
          <w:szCs w:val="24"/>
        </w:rPr>
      </w:pPr>
      <w:r w:rsidRPr="007C704A">
        <w:rPr>
          <w:rFonts w:ascii="Myriad Pro" w:hAnsi="Myriad Pro" w:cs="Arial"/>
          <w:b/>
          <w:sz w:val="24"/>
          <w:szCs w:val="24"/>
        </w:rPr>
        <w:t>But du poste</w:t>
      </w:r>
    </w:p>
    <w:p w:rsidR="0008108C" w:rsidRPr="007C704A" w:rsidRDefault="0008108C" w:rsidP="0008108C">
      <w:pPr>
        <w:spacing w:after="24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Fournir aux enfants qui participent au programme d</w:t>
      </w:r>
      <w:r w:rsidR="00926170" w:rsidRPr="007C704A">
        <w:rPr>
          <w:rFonts w:ascii="Minion Pro" w:hAnsi="Minion Pro" w:cs="Arial"/>
          <w:sz w:val="24"/>
          <w:szCs w:val="24"/>
        </w:rPr>
        <w:t xml:space="preserve">e GENA des services de qualité </w:t>
      </w:r>
      <w:r w:rsidRPr="007C704A">
        <w:rPr>
          <w:rFonts w:ascii="Minion Pro" w:hAnsi="Minion Pro" w:cs="Arial"/>
          <w:sz w:val="24"/>
          <w:szCs w:val="24"/>
        </w:rPr>
        <w:t>selon une approche axée sur l’enfant</w:t>
      </w:r>
      <w:r w:rsidR="00926170" w:rsidRPr="007C704A">
        <w:rPr>
          <w:rFonts w:ascii="Minion Pro" w:hAnsi="Minion Pro" w:cs="Arial"/>
          <w:sz w:val="24"/>
          <w:szCs w:val="24"/>
        </w:rPr>
        <w:t>,</w:t>
      </w:r>
      <w:r w:rsidRPr="007C704A">
        <w:rPr>
          <w:rFonts w:ascii="Minion Pro" w:hAnsi="Minion Pro" w:cs="Arial"/>
          <w:sz w:val="24"/>
          <w:szCs w:val="24"/>
        </w:rPr>
        <w:t xml:space="preserve"> et assurer leur santé et leur sécurité.</w:t>
      </w:r>
    </w:p>
    <w:p w:rsidR="0008108C" w:rsidRPr="007C704A" w:rsidRDefault="0008108C" w:rsidP="0008108C">
      <w:pPr>
        <w:spacing w:after="24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 xml:space="preserve">[Donner une courte description de la nature générale du poste au sein de votre organisme et de ce </w:t>
      </w:r>
      <w:r w:rsidR="007C704A" w:rsidRPr="007C704A">
        <w:rPr>
          <w:rFonts w:ascii="Minion Pro" w:hAnsi="Minion Pro" w:cs="Arial"/>
          <w:sz w:val="24"/>
          <w:szCs w:val="24"/>
        </w:rPr>
        <w:t>qu’est</w:t>
      </w:r>
      <w:r w:rsidR="00926170" w:rsidRPr="007C704A">
        <w:rPr>
          <w:rFonts w:ascii="Minion Pro" w:hAnsi="Minion Pro" w:cs="Arial"/>
          <w:sz w:val="24"/>
          <w:szCs w:val="24"/>
        </w:rPr>
        <w:t xml:space="preserve"> attendu de la personne qui occupe ce poste.</w:t>
      </w:r>
      <w:r w:rsidRPr="007C704A">
        <w:rPr>
          <w:rFonts w:ascii="Minion Pro" w:hAnsi="Minion Pro" w:cs="Arial"/>
          <w:sz w:val="24"/>
          <w:szCs w:val="24"/>
        </w:rPr>
        <w:t>]</w:t>
      </w:r>
    </w:p>
    <w:p w:rsidR="0008108C" w:rsidRPr="007C704A" w:rsidRDefault="0008108C" w:rsidP="0008108C">
      <w:pPr>
        <w:spacing w:after="240"/>
        <w:rPr>
          <w:rFonts w:ascii="Myriad Pro" w:hAnsi="Myriad Pro" w:cs="Arial"/>
          <w:sz w:val="24"/>
          <w:szCs w:val="24"/>
        </w:rPr>
      </w:pPr>
      <w:r w:rsidRPr="007C704A">
        <w:rPr>
          <w:rFonts w:ascii="Myriad Pro" w:hAnsi="Myriad Pro" w:cs="Arial"/>
          <w:b/>
          <w:sz w:val="24"/>
          <w:szCs w:val="24"/>
        </w:rPr>
        <w:t>Fonctions et responsabilités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 xml:space="preserve">Se conformer aux </w:t>
      </w:r>
      <w:r w:rsidRPr="007C704A">
        <w:rPr>
          <w:rFonts w:ascii="Minion Pro" w:hAnsi="Minion Pro" w:cs="Arial"/>
          <w:i/>
          <w:sz w:val="24"/>
          <w:szCs w:val="24"/>
        </w:rPr>
        <w:t>Exigences</w:t>
      </w:r>
      <w:r w:rsidRPr="007C704A">
        <w:rPr>
          <w:rFonts w:ascii="Minion Pro" w:hAnsi="Minion Pro" w:cs="Arial"/>
          <w:sz w:val="24"/>
          <w:szCs w:val="24"/>
        </w:rPr>
        <w:t xml:space="preserve"> </w:t>
      </w:r>
      <w:r w:rsidRPr="007C704A">
        <w:rPr>
          <w:rFonts w:ascii="Minion Pro" w:hAnsi="Minion Pro" w:cs="Arial"/>
          <w:i/>
          <w:sz w:val="24"/>
          <w:szCs w:val="24"/>
        </w:rPr>
        <w:t>relatives à la garde des enfants nouveaux arrivants</w:t>
      </w:r>
      <w:r w:rsidR="00926170" w:rsidRPr="007C704A">
        <w:rPr>
          <w:rFonts w:ascii="Minion Pro" w:hAnsi="Minion Pro" w:cs="Arial"/>
          <w:i/>
          <w:sz w:val="24"/>
          <w:szCs w:val="24"/>
        </w:rPr>
        <w:t>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Planifier des activités convenables pour les enfants, conformément à la philosophie du programme telle qu’elle est écrite.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Souhaiter la bienvenue aux enfants nouveaux arrivants et à leurs parents et interagir avec eux.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Fournir des activités et des expériences qui répondent aux besoins de développement de chaque enfant.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Monter et démonter l’équipement et les autres articles utilisés dans le programme.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Tenir des dossiers, y compris un registre quotidien, le Formulaire de présences, le Profil de l’enfant et le formulaire de gestion de la séance.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Inspecter le local de GENA pour relever les problèmes de sécurité et prendre les mesures nécessaires pour rectifier les problèmes conformément aux procédures établies.</w:t>
      </w:r>
    </w:p>
    <w:p w:rsidR="0008108C" w:rsidRPr="007C704A" w:rsidRDefault="0008108C" w:rsidP="0008108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lastRenderedPageBreak/>
        <w:t xml:space="preserve">Travailler avec les membres de l’équipe pour créer un </w:t>
      </w:r>
      <w:r w:rsidR="00926170" w:rsidRPr="007C704A">
        <w:rPr>
          <w:rFonts w:ascii="Minion Pro" w:hAnsi="Minion Pro" w:cs="Arial"/>
          <w:sz w:val="24"/>
          <w:szCs w:val="24"/>
        </w:rPr>
        <w:t>milieu</w:t>
      </w:r>
      <w:r w:rsidRPr="007C704A">
        <w:rPr>
          <w:rFonts w:ascii="Minion Pro" w:hAnsi="Minion Pro" w:cs="Arial"/>
          <w:sz w:val="24"/>
          <w:szCs w:val="24"/>
        </w:rPr>
        <w:t xml:space="preserve"> positif.</w:t>
      </w:r>
    </w:p>
    <w:p w:rsidR="007C704A" w:rsidRDefault="007C704A" w:rsidP="0008108C">
      <w:pPr>
        <w:spacing w:after="240"/>
        <w:rPr>
          <w:rFonts w:ascii="Minion Pro" w:hAnsi="Minion Pro" w:cs="Arial"/>
          <w:b/>
          <w:sz w:val="24"/>
          <w:szCs w:val="24"/>
        </w:rPr>
      </w:pPr>
    </w:p>
    <w:p w:rsidR="0008108C" w:rsidRPr="007C704A" w:rsidRDefault="0008108C" w:rsidP="0008108C">
      <w:pPr>
        <w:spacing w:after="240"/>
        <w:rPr>
          <w:rFonts w:ascii="Myriad Pro" w:hAnsi="Myriad Pro" w:cs="Arial"/>
          <w:b/>
          <w:sz w:val="24"/>
          <w:szCs w:val="24"/>
        </w:rPr>
      </w:pPr>
      <w:r w:rsidRPr="007C704A">
        <w:rPr>
          <w:rFonts w:ascii="Myriad Pro" w:hAnsi="Myriad Pro" w:cs="Arial"/>
          <w:b/>
          <w:sz w:val="24"/>
          <w:szCs w:val="24"/>
        </w:rPr>
        <w:t>Expérience et formation</w:t>
      </w:r>
    </w:p>
    <w:p w:rsidR="0008108C" w:rsidRPr="007C704A" w:rsidRDefault="0008108C" w:rsidP="0008108C">
      <w:pPr>
        <w:spacing w:after="24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Tout membre du personnel de GENA de niveau II doit posséder les qualifications suivantes :</w:t>
      </w:r>
    </w:p>
    <w:p w:rsidR="0008108C" w:rsidRPr="007C704A" w:rsidRDefault="0008108C" w:rsidP="0008108C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 xml:space="preserve">Formation : Au moins un diplôme </w:t>
      </w:r>
      <w:r w:rsidR="00926170" w:rsidRPr="007C704A">
        <w:rPr>
          <w:rFonts w:ascii="Minion Pro" w:hAnsi="Minion Pro" w:cs="Arial"/>
          <w:sz w:val="24"/>
          <w:szCs w:val="24"/>
        </w:rPr>
        <w:t>décerné par</w:t>
      </w:r>
      <w:r w:rsidRPr="007C704A">
        <w:rPr>
          <w:rFonts w:ascii="Minion Pro" w:hAnsi="Minion Pro" w:cs="Arial"/>
          <w:sz w:val="24"/>
          <w:szCs w:val="24"/>
        </w:rPr>
        <w:t xml:space="preserve"> un programme de deux ans offert par un établissement d’enseignement reconnu et portant sur le développement de l’enfant ou un domaine connexe.</w:t>
      </w:r>
    </w:p>
    <w:p w:rsidR="0008108C" w:rsidRPr="007C704A" w:rsidRDefault="0008108C" w:rsidP="0008108C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Certificat professionnel – Lorsqu’il y a lieu, la personne doit être membre en règle d’un organisme de reconnaissance professionnelle.</w:t>
      </w:r>
    </w:p>
    <w:p w:rsidR="0008108C" w:rsidRPr="007C704A" w:rsidRDefault="0008108C" w:rsidP="0008108C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Certificat de premiers soins et de RCP à jour.</w:t>
      </w:r>
    </w:p>
    <w:p w:rsidR="0008108C" w:rsidRPr="007C704A" w:rsidRDefault="0008108C" w:rsidP="0008108C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Évaluation de santé à jour, y compris un dossier d’immunisation et la preuve que la personne a subi un test de dépistage de la tuberculose.</w:t>
      </w:r>
    </w:p>
    <w:p w:rsidR="0008108C" w:rsidRPr="007C704A" w:rsidRDefault="0008108C" w:rsidP="0008108C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Vérification du casier judiciaire à jour.</w:t>
      </w:r>
    </w:p>
    <w:p w:rsidR="0008108C" w:rsidRPr="007C704A" w:rsidRDefault="0008108C" w:rsidP="0008108C">
      <w:pPr>
        <w:spacing w:after="24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De plus, le personnel de GENA de niveau II doit posséder les compétences et aptitudes suivantes :</w:t>
      </w:r>
    </w:p>
    <w:p w:rsidR="0008108C" w:rsidRPr="007C704A" w:rsidRDefault="0008108C" w:rsidP="0008108C">
      <w:pPr>
        <w:spacing w:after="240"/>
        <w:rPr>
          <w:rFonts w:ascii="Myriad Pro" w:hAnsi="Myriad Pro" w:cs="Arial"/>
          <w:sz w:val="24"/>
          <w:szCs w:val="24"/>
        </w:rPr>
      </w:pPr>
      <w:r w:rsidRPr="007C704A">
        <w:rPr>
          <w:rFonts w:ascii="Myriad Pro" w:hAnsi="Myriad Pro" w:cs="Arial"/>
          <w:b/>
          <w:sz w:val="24"/>
          <w:szCs w:val="24"/>
        </w:rPr>
        <w:t>Compétences et aptitudes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Élaborer et mettre en œuvre des activités quotidiennes qui favorisent le développement des enfants nouveaux arrivants – dans les services de longue durée, les services de courte durée et les services  combinés (selon le cas).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Dans les services de courte durée, comprendre les besoins de programmation des enfants qui viennent se faire garder occasionnellement pour de courtes périodes.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Lorsque des programmes combinés sont offerts, connaître les problèmes liés aux services fournis à des enfants dont certains sont gardés pour une courte période et d’autres pour une longue période, et surtout les problèmes liés aux transitions et à la séparation.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Comprendre et connaître les problèmes liés à l’établissement</w:t>
      </w:r>
      <w:r w:rsidR="00926170" w:rsidRPr="007C704A">
        <w:rPr>
          <w:rFonts w:ascii="Minion Pro" w:hAnsi="Minion Pro" w:cs="Arial"/>
          <w:sz w:val="24"/>
          <w:szCs w:val="24"/>
        </w:rPr>
        <w:t xml:space="preserve"> ainsi que </w:t>
      </w:r>
      <w:r w:rsidRPr="007C704A">
        <w:rPr>
          <w:rFonts w:ascii="Minion Pro" w:hAnsi="Minion Pro" w:cs="Arial"/>
          <w:sz w:val="24"/>
          <w:szCs w:val="24"/>
        </w:rPr>
        <w:t>les préoccupations des enfants et des parents nouveaux arrivants.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Faire participer les enfants à des activités axées sur l’enfant.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lastRenderedPageBreak/>
        <w:t>Guider les enfants et les aider à acquérir de bonnes habitudes pour manger sainement, s’habiller et aller à la toilette.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Évaluer les compétences, les aptitudes, les intérêts et les besoins des enfants.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Discuter des progrès ou des problèmes des enfants avec les parents et avec les autres membres du personnel.</w:t>
      </w:r>
    </w:p>
    <w:p w:rsidR="0008108C" w:rsidRPr="007C704A" w:rsidRDefault="0008108C" w:rsidP="0008108C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Participer à des réunions et des ateliers selon les directives du chef de service.</w:t>
      </w:r>
    </w:p>
    <w:p w:rsidR="0008108C" w:rsidRPr="007C704A" w:rsidRDefault="0008108C" w:rsidP="0008108C">
      <w:pPr>
        <w:spacing w:after="240"/>
        <w:rPr>
          <w:rFonts w:ascii="Myriad Pro" w:hAnsi="Myriad Pro" w:cs="Arial"/>
          <w:b/>
          <w:sz w:val="24"/>
          <w:szCs w:val="24"/>
        </w:rPr>
      </w:pPr>
      <w:r w:rsidRPr="007C704A">
        <w:rPr>
          <w:rFonts w:ascii="Myriad Pro" w:hAnsi="Myriad Pro" w:cs="Arial"/>
          <w:b/>
          <w:sz w:val="24"/>
          <w:szCs w:val="24"/>
        </w:rPr>
        <w:t>Exigences physiques</w:t>
      </w:r>
    </w:p>
    <w:p w:rsidR="0008108C" w:rsidRPr="007C704A" w:rsidRDefault="0008108C" w:rsidP="0008108C">
      <w:pPr>
        <w:pStyle w:val="ListParagraph"/>
        <w:numPr>
          <w:ilvl w:val="0"/>
          <w:numId w:val="4"/>
        </w:numPr>
        <w:spacing w:after="240"/>
        <w:ind w:left="360"/>
        <w:rPr>
          <w:rFonts w:ascii="Minion Pro" w:hAnsi="Minion Pro" w:cs="Arial"/>
          <w:sz w:val="24"/>
          <w:szCs w:val="24"/>
        </w:rPr>
      </w:pPr>
      <w:r w:rsidRPr="007C704A">
        <w:rPr>
          <w:rFonts w:ascii="Minion Pro" w:hAnsi="Minion Pro" w:cs="Arial"/>
          <w:sz w:val="24"/>
          <w:szCs w:val="24"/>
        </w:rPr>
        <w:t>Comme ce poste consiste à travailler avec de jeunes enfants, il faut pouvoir soulever des enfants et des objets et participer à des activités physiques. Il faut également pouvoir aller dehors pour surveiller les enfants et faire des activités physiques.</w:t>
      </w:r>
    </w:p>
    <w:p w:rsidR="004A6C4A" w:rsidRPr="007C704A" w:rsidRDefault="004A6C4A">
      <w:pPr>
        <w:rPr>
          <w:rFonts w:ascii="Minion Pro" w:hAnsi="Minion Pro" w:cs="Arial"/>
          <w:sz w:val="24"/>
          <w:szCs w:val="24"/>
        </w:rPr>
      </w:pPr>
    </w:p>
    <w:p w:rsidR="007C704A" w:rsidRPr="007C704A" w:rsidRDefault="007C704A">
      <w:pPr>
        <w:rPr>
          <w:rFonts w:ascii="Minion Pro" w:hAnsi="Minion Pro" w:cs="Arial"/>
          <w:sz w:val="24"/>
          <w:szCs w:val="24"/>
        </w:rPr>
      </w:pPr>
    </w:p>
    <w:sectPr w:rsidR="007C704A" w:rsidRPr="007C704A" w:rsidSect="00EE25D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CE" w:rsidRDefault="00B00ACE" w:rsidP="0036737F">
      <w:r>
        <w:separator/>
      </w:r>
    </w:p>
  </w:endnote>
  <w:endnote w:type="continuationSeparator" w:id="0">
    <w:p w:rsidR="00B00ACE" w:rsidRDefault="00B00ACE" w:rsidP="003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B" w:rsidRDefault="00D10AEB" w:rsidP="00D10AEB">
    <w:pPr>
      <w:pStyle w:val="Footer"/>
      <w:jc w:val="center"/>
    </w:pPr>
    <w:r>
      <w:rPr>
        <w:noProof/>
        <w:lang w:val="en-CA" w:eastAsia="en-CA"/>
      </w:rPr>
      <w:drawing>
        <wp:inline distT="0" distB="0" distL="0" distR="0">
          <wp:extent cx="5486400" cy="469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FD2" w:rsidRDefault="00D10AEB" w:rsidP="00D10AEB">
    <w:pPr>
      <w:pStyle w:val="Footer"/>
      <w:jc w:val="center"/>
    </w:pPr>
    <w:r>
      <w:tab/>
    </w:r>
    <w:r>
      <w:tab/>
      <w:t xml:space="preserve">     </w:t>
    </w:r>
    <w:r w:rsidR="00FC7EB9" w:rsidRPr="00FC7EB9">
      <w:t>février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CE" w:rsidRDefault="00B00ACE" w:rsidP="0036737F">
      <w:r>
        <w:separator/>
      </w:r>
    </w:p>
  </w:footnote>
  <w:footnote w:type="continuationSeparator" w:id="0">
    <w:p w:rsidR="00B00ACE" w:rsidRDefault="00B00ACE" w:rsidP="0036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AE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96E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C46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E24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30B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F6A1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6A8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947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3C4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A0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F65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DE6392"/>
    <w:multiLevelType w:val="hybridMultilevel"/>
    <w:tmpl w:val="55DEAA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220CB"/>
    <w:multiLevelType w:val="hybridMultilevel"/>
    <w:tmpl w:val="6EB0DC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32F7E"/>
    <w:multiLevelType w:val="hybridMultilevel"/>
    <w:tmpl w:val="61F43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C5F70"/>
    <w:multiLevelType w:val="hybridMultilevel"/>
    <w:tmpl w:val="48984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C"/>
    <w:rsid w:val="00010F50"/>
    <w:rsid w:val="00017B46"/>
    <w:rsid w:val="00043F27"/>
    <w:rsid w:val="00053C4A"/>
    <w:rsid w:val="0008108C"/>
    <w:rsid w:val="000840D8"/>
    <w:rsid w:val="000D6BFD"/>
    <w:rsid w:val="000E6E43"/>
    <w:rsid w:val="000F0D4D"/>
    <w:rsid w:val="0010456B"/>
    <w:rsid w:val="00173ACE"/>
    <w:rsid w:val="00175BCC"/>
    <w:rsid w:val="001945C5"/>
    <w:rsid w:val="001A403A"/>
    <w:rsid w:val="0023185A"/>
    <w:rsid w:val="00257D0D"/>
    <w:rsid w:val="0026636C"/>
    <w:rsid w:val="002735DB"/>
    <w:rsid w:val="00286764"/>
    <w:rsid w:val="0029784E"/>
    <w:rsid w:val="002D4A84"/>
    <w:rsid w:val="002E0065"/>
    <w:rsid w:val="00363F62"/>
    <w:rsid w:val="0036737F"/>
    <w:rsid w:val="003712AA"/>
    <w:rsid w:val="003E5443"/>
    <w:rsid w:val="004A6C4A"/>
    <w:rsid w:val="004B650C"/>
    <w:rsid w:val="004C0E52"/>
    <w:rsid w:val="004E72B3"/>
    <w:rsid w:val="00500B17"/>
    <w:rsid w:val="0050131C"/>
    <w:rsid w:val="005256A9"/>
    <w:rsid w:val="00544B9E"/>
    <w:rsid w:val="005A7868"/>
    <w:rsid w:val="005C2737"/>
    <w:rsid w:val="005C76F7"/>
    <w:rsid w:val="005D2F6D"/>
    <w:rsid w:val="00604855"/>
    <w:rsid w:val="00613D92"/>
    <w:rsid w:val="006279B4"/>
    <w:rsid w:val="00676458"/>
    <w:rsid w:val="00681800"/>
    <w:rsid w:val="006B64B1"/>
    <w:rsid w:val="006E55C5"/>
    <w:rsid w:val="00734904"/>
    <w:rsid w:val="00751F12"/>
    <w:rsid w:val="00793792"/>
    <w:rsid w:val="007C0738"/>
    <w:rsid w:val="007C382B"/>
    <w:rsid w:val="007C704A"/>
    <w:rsid w:val="007E5966"/>
    <w:rsid w:val="007F04D5"/>
    <w:rsid w:val="00805683"/>
    <w:rsid w:val="008A0E72"/>
    <w:rsid w:val="008D46A3"/>
    <w:rsid w:val="00903BAB"/>
    <w:rsid w:val="00926170"/>
    <w:rsid w:val="00926A6E"/>
    <w:rsid w:val="0093685C"/>
    <w:rsid w:val="00961E61"/>
    <w:rsid w:val="00982BAF"/>
    <w:rsid w:val="009A557D"/>
    <w:rsid w:val="009B20FA"/>
    <w:rsid w:val="009C155C"/>
    <w:rsid w:val="009D4501"/>
    <w:rsid w:val="009E2D0D"/>
    <w:rsid w:val="00A62765"/>
    <w:rsid w:val="00AB6BFB"/>
    <w:rsid w:val="00B00ACE"/>
    <w:rsid w:val="00B23AAE"/>
    <w:rsid w:val="00B35B49"/>
    <w:rsid w:val="00BB1445"/>
    <w:rsid w:val="00BB6FA6"/>
    <w:rsid w:val="00BD324E"/>
    <w:rsid w:val="00BF3F6B"/>
    <w:rsid w:val="00C217C8"/>
    <w:rsid w:val="00C4756D"/>
    <w:rsid w:val="00C73294"/>
    <w:rsid w:val="00C827F4"/>
    <w:rsid w:val="00CC64CA"/>
    <w:rsid w:val="00CF7BFC"/>
    <w:rsid w:val="00D10AEB"/>
    <w:rsid w:val="00D21C79"/>
    <w:rsid w:val="00D30978"/>
    <w:rsid w:val="00D43997"/>
    <w:rsid w:val="00D91A30"/>
    <w:rsid w:val="00D95279"/>
    <w:rsid w:val="00DA71D1"/>
    <w:rsid w:val="00DE5765"/>
    <w:rsid w:val="00DF5ABF"/>
    <w:rsid w:val="00E00BFA"/>
    <w:rsid w:val="00E13BF1"/>
    <w:rsid w:val="00E24A9C"/>
    <w:rsid w:val="00E55226"/>
    <w:rsid w:val="00E67F7C"/>
    <w:rsid w:val="00E72671"/>
    <w:rsid w:val="00E9736A"/>
    <w:rsid w:val="00EF6D69"/>
    <w:rsid w:val="00F1144F"/>
    <w:rsid w:val="00F3128E"/>
    <w:rsid w:val="00F57A1E"/>
    <w:rsid w:val="00F64049"/>
    <w:rsid w:val="00FC7B66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8C"/>
    <w:rPr>
      <w:rFonts w:asciiTheme="minorHAnsi" w:hAnsiTheme="minorHAnsi" w:cstheme="minorBidi"/>
      <w:b w:val="0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8C"/>
    <w:rPr>
      <w:rFonts w:asciiTheme="minorHAnsi" w:hAnsiTheme="minorHAnsi" w:cstheme="minorBidi"/>
      <w:b w:val="0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08C"/>
    <w:rPr>
      <w:rFonts w:asciiTheme="minorHAnsi" w:hAnsiTheme="minorHAnsi" w:cstheme="minorBidi"/>
      <w:b w:val="0"/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8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08C"/>
    <w:rPr>
      <w:rFonts w:asciiTheme="minorHAnsi" w:hAnsiTheme="minorHAnsi" w:cstheme="minorBidi"/>
      <w:b w:val="0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EB"/>
    <w:rPr>
      <w:rFonts w:ascii="Tahoma" w:hAnsi="Tahoma" w:cs="Tahoma"/>
      <w:b w:val="0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8C"/>
    <w:rPr>
      <w:rFonts w:asciiTheme="minorHAnsi" w:hAnsiTheme="minorHAnsi" w:cstheme="minorBidi"/>
      <w:b w:val="0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8C"/>
    <w:rPr>
      <w:rFonts w:asciiTheme="minorHAnsi" w:hAnsiTheme="minorHAnsi" w:cstheme="minorBidi"/>
      <w:b w:val="0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08C"/>
    <w:rPr>
      <w:rFonts w:asciiTheme="minorHAnsi" w:hAnsiTheme="minorHAnsi" w:cstheme="minorBidi"/>
      <w:b w:val="0"/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8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08C"/>
    <w:rPr>
      <w:rFonts w:asciiTheme="minorHAnsi" w:hAnsiTheme="minorHAnsi" w:cstheme="minorBidi"/>
      <w:b w:val="0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EB"/>
    <w:rPr>
      <w:rFonts w:ascii="Tahoma" w:hAnsi="Tahoma" w:cs="Tahoma"/>
      <w:b w:val="0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Rahman</dc:creator>
  <cp:keywords/>
  <dc:description/>
  <cp:lastModifiedBy>Hoo, Susan</cp:lastModifiedBy>
  <cp:revision>2</cp:revision>
  <dcterms:created xsi:type="dcterms:W3CDTF">2014-02-07T13:47:00Z</dcterms:created>
  <dcterms:modified xsi:type="dcterms:W3CDTF">2014-02-07T13:47:00Z</dcterms:modified>
</cp:coreProperties>
</file>